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33A" w:rsidRPr="0070333A" w:rsidRDefault="0070333A" w:rsidP="0070333A">
      <w:pPr>
        <w:ind w:left="-567" w:firstLine="567"/>
        <w:rPr>
          <w:b/>
          <w:sz w:val="32"/>
          <w:szCs w:val="32"/>
        </w:rPr>
      </w:pPr>
      <w:r w:rsidRPr="0070333A">
        <w:rPr>
          <w:b/>
          <w:sz w:val="32"/>
          <w:szCs w:val="32"/>
        </w:rPr>
        <w:t>ENVIRONMENTA</w:t>
      </w:r>
      <w:r w:rsidR="007E4B92">
        <w:rPr>
          <w:b/>
          <w:sz w:val="32"/>
          <w:szCs w:val="32"/>
        </w:rPr>
        <w:t>L, SOCIAL, HEALTH AND ECONOMIC</w:t>
      </w:r>
      <w:r w:rsidRPr="0070333A">
        <w:rPr>
          <w:b/>
          <w:sz w:val="32"/>
          <w:szCs w:val="32"/>
        </w:rPr>
        <w:t xml:space="preserve"> RISKS OF OIL &amp; GAS EXPLORATION IN MATATIELE</w:t>
      </w:r>
    </w:p>
    <w:p w:rsidR="00E87485" w:rsidRDefault="0070333A" w:rsidP="0070333A">
      <w:pPr>
        <w:ind w:left="-567" w:firstLine="567"/>
      </w:pPr>
      <w:r w:rsidRPr="0070333A">
        <w:rPr>
          <w:noProof/>
        </w:rPr>
        <w:drawing>
          <wp:inline distT="0" distB="0" distL="0" distR="0">
            <wp:extent cx="8624207" cy="5965371"/>
            <wp:effectExtent l="19050" t="0" r="5443" b="0"/>
            <wp:docPr id="1" name="Picture 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5">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8631570" cy="5970464"/>
                    </a:xfrm>
                    <a:prstGeom prst="rect">
                      <a:avLst/>
                    </a:prstGeom>
                    <a:noFill/>
                    <a:ln>
                      <a:noFill/>
                    </a:ln>
                    <a:effectLst/>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952389" w:rsidRDefault="00952389" w:rsidP="00952389">
      <w:pPr>
        <w:rPr>
          <w:i/>
          <w:iCs/>
          <w:sz w:val="28"/>
          <w:szCs w:val="28"/>
          <w:lang w:val="en-GB"/>
        </w:rPr>
      </w:pPr>
    </w:p>
    <w:p w:rsidR="00952389" w:rsidRPr="00952389" w:rsidRDefault="00952389" w:rsidP="00952389">
      <w:pPr>
        <w:rPr>
          <w:sz w:val="28"/>
          <w:szCs w:val="28"/>
        </w:rPr>
      </w:pPr>
      <w:r w:rsidRPr="00952389">
        <w:rPr>
          <w:i/>
          <w:iCs/>
          <w:sz w:val="28"/>
          <w:szCs w:val="28"/>
          <w:lang w:val="en-GB"/>
        </w:rPr>
        <w:lastRenderedPageBreak/>
        <w:t xml:space="preserve">“Natural gas is a </w:t>
      </w:r>
      <w:r w:rsidRPr="00952389">
        <w:rPr>
          <w:i/>
          <w:iCs/>
          <w:sz w:val="28"/>
          <w:szCs w:val="28"/>
          <w:lang w:val="en-ZA"/>
        </w:rPr>
        <w:t>flammable gas, consisting largely of methane and other hydrocarbons, occurring naturally underground (often in association with petroleum) and used as fuel.”</w:t>
      </w:r>
      <w:r w:rsidRPr="00952389">
        <w:rPr>
          <w:i/>
          <w:iCs/>
          <w:sz w:val="28"/>
          <w:szCs w:val="28"/>
          <w:lang w:val="en-GB"/>
        </w:rPr>
        <w:t xml:space="preserve"> </w:t>
      </w:r>
    </w:p>
    <w:p w:rsidR="00952389" w:rsidRPr="00952389" w:rsidRDefault="00952389" w:rsidP="00952389">
      <w:pPr>
        <w:ind w:left="-567" w:firstLine="567"/>
        <w:rPr>
          <w:b/>
          <w:sz w:val="28"/>
          <w:szCs w:val="28"/>
        </w:rPr>
      </w:pPr>
      <w:r w:rsidRPr="00952389">
        <w:rPr>
          <w:sz w:val="28"/>
          <w:szCs w:val="28"/>
          <w:lang w:val="en-ZA"/>
        </w:rPr>
        <w:t xml:space="preserve">Both conventional and unconventional </w:t>
      </w:r>
      <w:proofErr w:type="gramStart"/>
      <w:r w:rsidRPr="00952389">
        <w:rPr>
          <w:sz w:val="28"/>
          <w:szCs w:val="28"/>
          <w:lang w:val="en-ZA"/>
        </w:rPr>
        <w:t>gas are</w:t>
      </w:r>
      <w:proofErr w:type="gramEnd"/>
      <w:r w:rsidRPr="00952389">
        <w:rPr>
          <w:sz w:val="28"/>
          <w:szCs w:val="28"/>
          <w:lang w:val="en-ZA"/>
        </w:rPr>
        <w:t xml:space="preserve"> natural gas – the difference is in how </w:t>
      </w:r>
      <w:r w:rsidRPr="00952389">
        <w:rPr>
          <w:b/>
          <w:sz w:val="28"/>
          <w:szCs w:val="28"/>
          <w:lang w:val="en-ZA"/>
        </w:rPr>
        <w:t>they are extracted:</w:t>
      </w:r>
    </w:p>
    <w:p w:rsidR="00DB22AB" w:rsidRPr="00952389" w:rsidRDefault="00A0481D" w:rsidP="00952389">
      <w:pPr>
        <w:numPr>
          <w:ilvl w:val="0"/>
          <w:numId w:val="3"/>
        </w:numPr>
        <w:rPr>
          <w:sz w:val="28"/>
          <w:szCs w:val="28"/>
        </w:rPr>
      </w:pPr>
      <w:r w:rsidRPr="00952389">
        <w:rPr>
          <w:b/>
          <w:bCs/>
          <w:sz w:val="28"/>
          <w:szCs w:val="28"/>
          <w:lang w:val="en-ZA"/>
        </w:rPr>
        <w:t>Conventional gas (CG)</w:t>
      </w:r>
      <w:r w:rsidRPr="00952389">
        <w:rPr>
          <w:sz w:val="28"/>
          <w:szCs w:val="28"/>
          <w:lang w:val="en-ZA"/>
        </w:rPr>
        <w:t xml:space="preserve"> is located in geological pockets or permeable rocks and can escape freely after drilling. </w:t>
      </w:r>
    </w:p>
    <w:p w:rsidR="00DB22AB" w:rsidRPr="00952389" w:rsidRDefault="00A0481D" w:rsidP="00952389">
      <w:pPr>
        <w:numPr>
          <w:ilvl w:val="0"/>
          <w:numId w:val="3"/>
        </w:numPr>
        <w:rPr>
          <w:sz w:val="28"/>
          <w:szCs w:val="28"/>
        </w:rPr>
      </w:pPr>
      <w:r w:rsidRPr="00952389">
        <w:rPr>
          <w:b/>
          <w:bCs/>
          <w:sz w:val="28"/>
          <w:szCs w:val="28"/>
          <w:lang w:val="en-ZA"/>
        </w:rPr>
        <w:t xml:space="preserve">Unconventional gas (UG) </w:t>
      </w:r>
      <w:r w:rsidRPr="00952389">
        <w:rPr>
          <w:sz w:val="28"/>
          <w:szCs w:val="28"/>
          <w:lang w:val="en-ZA"/>
        </w:rPr>
        <w:t xml:space="preserve">is trapped </w:t>
      </w:r>
      <w:r w:rsidR="007E4B92">
        <w:rPr>
          <w:sz w:val="28"/>
          <w:szCs w:val="28"/>
          <w:lang w:val="en-ZA"/>
        </w:rPr>
        <w:t xml:space="preserve">in </w:t>
      </w:r>
      <w:r w:rsidRPr="00952389">
        <w:rPr>
          <w:sz w:val="28"/>
          <w:szCs w:val="28"/>
          <w:lang w:val="en-ZA"/>
        </w:rPr>
        <w:t xml:space="preserve">impermeable rock formations, such as shale, tight sands and coal beds (also called coal seam gas in Australia), that need to be fractured in order to release gas in commercial quantities. </w:t>
      </w:r>
    </w:p>
    <w:p w:rsidR="00952389" w:rsidRDefault="00952389" w:rsidP="007E4B92">
      <w:pPr>
        <w:ind w:left="-567" w:firstLine="567"/>
        <w:jc w:val="center"/>
      </w:pPr>
      <w:r w:rsidRPr="00952389">
        <w:rPr>
          <w:noProof/>
        </w:rPr>
        <w:drawing>
          <wp:inline distT="0" distB="0" distL="0" distR="0">
            <wp:extent cx="7524750" cy="4757057"/>
            <wp:effectExtent l="19050" t="0" r="0" b="0"/>
            <wp:docPr id="10" name="Picture 10"/>
            <wp:cNvGraphicFramePr/>
            <a:graphic xmlns:a="http://schemas.openxmlformats.org/drawingml/2006/main">
              <a:graphicData uri="http://schemas.openxmlformats.org/drawingml/2006/picture">
                <pic:pic xmlns:pic="http://schemas.openxmlformats.org/drawingml/2006/picture">
                  <pic:nvPicPr>
                    <pic:cNvPr id="82946" name="Picture 2"/>
                    <pic:cNvPicPr>
                      <a:picLocks noChangeAspect="1" noChangeArrowheads="1"/>
                    </pic:cNvPicPr>
                  </pic:nvPicPr>
                  <pic:blipFill>
                    <a:blip r:embed="rId6">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7521561" cy="4755041"/>
                    </a:xfrm>
                    <a:prstGeom prst="rect">
                      <a:avLst/>
                    </a:prstGeom>
                    <a:noFill/>
                    <a:ln>
                      <a:noFill/>
                    </a:ln>
                    <a:effectLst/>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70333A" w:rsidRDefault="00A0481D" w:rsidP="0070333A">
      <w:pPr>
        <w:ind w:left="360"/>
        <w:rPr>
          <w:lang w:val="en-ZA"/>
        </w:rPr>
      </w:pPr>
      <w:r>
        <w:rPr>
          <w:noProof/>
        </w:rPr>
        <w:lastRenderedPageBreak/>
        <w:drawing>
          <wp:anchor distT="0" distB="0" distL="114300" distR="114300" simplePos="0" relativeHeight="251660288" behindDoc="0" locked="0" layoutInCell="1" allowOverlap="1">
            <wp:simplePos x="0" y="0"/>
            <wp:positionH relativeFrom="column">
              <wp:posOffset>6296206</wp:posOffset>
            </wp:positionH>
            <wp:positionV relativeFrom="paragraph">
              <wp:posOffset>5278755</wp:posOffset>
            </wp:positionV>
            <wp:extent cx="2702379" cy="1676400"/>
            <wp:effectExtent l="19050" t="0" r="2721" b="0"/>
            <wp:wrapNone/>
            <wp:docPr id="14" name="Picture 13" descr="z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 14.jpg"/>
                    <pic:cNvPicPr/>
                  </pic:nvPicPr>
                  <pic:blipFill>
                    <a:blip r:embed="rId7" cstate="print"/>
                    <a:stretch>
                      <a:fillRect/>
                    </a:stretch>
                  </pic:blipFill>
                  <pic:spPr>
                    <a:xfrm>
                      <a:off x="0" y="0"/>
                      <a:ext cx="2702379" cy="1676400"/>
                    </a:xfrm>
                    <a:prstGeom prst="rect">
                      <a:avLst/>
                    </a:prstGeom>
                  </pic:spPr>
                </pic:pic>
              </a:graphicData>
            </a:graphic>
          </wp:anchor>
        </w:drawing>
      </w:r>
      <w:r>
        <w:rPr>
          <w:noProof/>
        </w:rPr>
        <w:drawing>
          <wp:anchor distT="0" distB="0" distL="114300" distR="114300" simplePos="0" relativeHeight="251659264" behindDoc="0" locked="0" layoutInCell="1" allowOverlap="1">
            <wp:simplePos x="0" y="0"/>
            <wp:positionH relativeFrom="column">
              <wp:posOffset>3345815</wp:posOffset>
            </wp:positionH>
            <wp:positionV relativeFrom="paragraph">
              <wp:posOffset>5278755</wp:posOffset>
            </wp:positionV>
            <wp:extent cx="2770505" cy="1719580"/>
            <wp:effectExtent l="19050" t="0" r="0" b="0"/>
            <wp:wrapNone/>
            <wp:docPr id="13" name="Picture 12" descr="z 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 08.jpg"/>
                    <pic:cNvPicPr/>
                  </pic:nvPicPr>
                  <pic:blipFill>
                    <a:blip r:embed="rId8" cstate="print"/>
                    <a:stretch>
                      <a:fillRect/>
                    </a:stretch>
                  </pic:blipFill>
                  <pic:spPr>
                    <a:xfrm>
                      <a:off x="0" y="0"/>
                      <a:ext cx="2770505" cy="1719580"/>
                    </a:xfrm>
                    <a:prstGeom prst="rect">
                      <a:avLst/>
                    </a:prstGeom>
                  </pic:spPr>
                </pic:pic>
              </a:graphicData>
            </a:graphic>
          </wp:anchor>
        </w:drawing>
      </w:r>
      <w:r>
        <w:rPr>
          <w:noProof/>
        </w:rPr>
        <w:drawing>
          <wp:anchor distT="0" distB="0" distL="114300" distR="114300" simplePos="0" relativeHeight="251658240" behindDoc="0" locked="0" layoutInCell="1" allowOverlap="1">
            <wp:simplePos x="0" y="0"/>
            <wp:positionH relativeFrom="column">
              <wp:posOffset>374377</wp:posOffset>
            </wp:positionH>
            <wp:positionV relativeFrom="paragraph">
              <wp:posOffset>5278755</wp:posOffset>
            </wp:positionV>
            <wp:extent cx="2768721" cy="1719943"/>
            <wp:effectExtent l="19050" t="0" r="0" b="0"/>
            <wp:wrapNone/>
            <wp:docPr id="12" name="Picture 11" descr="z 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 07.jpg"/>
                    <pic:cNvPicPr/>
                  </pic:nvPicPr>
                  <pic:blipFill>
                    <a:blip r:embed="rId9" cstate="print"/>
                    <a:stretch>
                      <a:fillRect/>
                    </a:stretch>
                  </pic:blipFill>
                  <pic:spPr>
                    <a:xfrm>
                      <a:off x="0" y="0"/>
                      <a:ext cx="2768565" cy="1719846"/>
                    </a:xfrm>
                    <a:prstGeom prst="rect">
                      <a:avLst/>
                    </a:prstGeom>
                  </pic:spPr>
                </pic:pic>
              </a:graphicData>
            </a:graphic>
          </wp:anchor>
        </w:drawing>
      </w:r>
      <w:r w:rsidR="0070333A" w:rsidRPr="0070333A">
        <w:rPr>
          <w:noProof/>
        </w:rPr>
        <w:drawing>
          <wp:inline distT="0" distB="0" distL="0" distR="0">
            <wp:extent cx="8675915" cy="5551714"/>
            <wp:effectExtent l="0" t="0" r="0" b="0"/>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21675" cy="4918621"/>
                      <a:chOff x="504825" y="1606131"/>
                      <a:chExt cx="8321675" cy="4918621"/>
                    </a:xfrm>
                  </a:grpSpPr>
                  <a:sp>
                    <a:nvSpPr>
                      <a:cNvPr id="15364" name="Title 1"/>
                      <a:cNvSpPr txBox="1">
                        <a:spLocks/>
                      </a:cNvSpPr>
                    </a:nvSpPr>
                    <a:spPr bwMode="auto">
                      <a:xfrm>
                        <a:off x="504825" y="1606131"/>
                        <a:ext cx="8321675" cy="4918621"/>
                      </a:xfrm>
                      <a:prstGeom prst="rect">
                        <a:avLst/>
                      </a:prstGeom>
                      <a:noFill/>
                      <a:ln>
                        <a:noFill/>
                      </a:ln>
                      <a:extLst>
                        <a:ext uri="{909E8E84-426E-40DD-AFC4-6F175D3DCCD1}">
                          <a14:hiddenFill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a:spPr>
                    <a:txSp>
                      <a:txBody>
                        <a:bodyPr/>
                        <a:lstStyle>
                          <a:defPPr>
                            <a:defRPr lang="en-ZA"/>
                          </a:defPPr>
                          <a:lvl1pPr algn="l" defTabSz="457200" rtl="0" fontAlgn="base">
                            <a:spcBef>
                              <a:spcPct val="0"/>
                            </a:spcBef>
                            <a:spcAft>
                              <a:spcPct val="0"/>
                            </a:spcAft>
                            <a:defRPr sz="3200" kern="1200">
                              <a:solidFill>
                                <a:schemeClr val="tx1"/>
                              </a:solidFill>
                              <a:latin typeface="Arial" pitchFamily="34" charset="0"/>
                              <a:ea typeface="Geneva"/>
                              <a:cs typeface="Geneva"/>
                            </a:defRPr>
                          </a:lvl1pPr>
                          <a:lvl2pPr marL="457200" algn="l" defTabSz="457200" rtl="0" fontAlgn="base">
                            <a:spcBef>
                              <a:spcPct val="0"/>
                            </a:spcBef>
                            <a:spcAft>
                              <a:spcPct val="0"/>
                            </a:spcAft>
                            <a:defRPr sz="3200" kern="1200">
                              <a:solidFill>
                                <a:schemeClr val="tx1"/>
                              </a:solidFill>
                              <a:latin typeface="Arial" pitchFamily="34" charset="0"/>
                              <a:ea typeface="Geneva"/>
                              <a:cs typeface="Geneva"/>
                            </a:defRPr>
                          </a:lvl2pPr>
                          <a:lvl3pPr marL="914400" algn="l" defTabSz="457200" rtl="0" fontAlgn="base">
                            <a:spcBef>
                              <a:spcPct val="0"/>
                            </a:spcBef>
                            <a:spcAft>
                              <a:spcPct val="0"/>
                            </a:spcAft>
                            <a:defRPr sz="3200" kern="1200">
                              <a:solidFill>
                                <a:schemeClr val="tx1"/>
                              </a:solidFill>
                              <a:latin typeface="Arial" pitchFamily="34" charset="0"/>
                              <a:ea typeface="Geneva"/>
                              <a:cs typeface="Geneva"/>
                            </a:defRPr>
                          </a:lvl3pPr>
                          <a:lvl4pPr marL="1371600" algn="l" defTabSz="457200" rtl="0" fontAlgn="base">
                            <a:spcBef>
                              <a:spcPct val="0"/>
                            </a:spcBef>
                            <a:spcAft>
                              <a:spcPct val="0"/>
                            </a:spcAft>
                            <a:defRPr sz="3200" kern="1200">
                              <a:solidFill>
                                <a:schemeClr val="tx1"/>
                              </a:solidFill>
                              <a:latin typeface="Arial" pitchFamily="34" charset="0"/>
                              <a:ea typeface="Geneva"/>
                              <a:cs typeface="Geneva"/>
                            </a:defRPr>
                          </a:lvl4pPr>
                          <a:lvl5pPr marL="1828800" algn="l" defTabSz="457200" rtl="0" fontAlgn="base">
                            <a:spcBef>
                              <a:spcPct val="0"/>
                            </a:spcBef>
                            <a:spcAft>
                              <a:spcPct val="0"/>
                            </a:spcAft>
                            <a:defRPr sz="3200" kern="1200">
                              <a:solidFill>
                                <a:schemeClr val="tx1"/>
                              </a:solidFill>
                              <a:latin typeface="Arial" pitchFamily="34" charset="0"/>
                              <a:ea typeface="Geneva"/>
                              <a:cs typeface="Geneva"/>
                            </a:defRPr>
                          </a:lvl5pPr>
                          <a:lvl6pPr marL="2286000" algn="l" defTabSz="914400" rtl="0" eaLnBrk="1" latinLnBrk="0" hangingPunct="1">
                            <a:defRPr sz="3200" kern="1200">
                              <a:solidFill>
                                <a:schemeClr val="tx1"/>
                              </a:solidFill>
                              <a:latin typeface="Arial" pitchFamily="34" charset="0"/>
                              <a:ea typeface="Geneva"/>
                              <a:cs typeface="Geneva"/>
                            </a:defRPr>
                          </a:lvl6pPr>
                          <a:lvl7pPr marL="2743200" algn="l" defTabSz="914400" rtl="0" eaLnBrk="1" latinLnBrk="0" hangingPunct="1">
                            <a:defRPr sz="3200" kern="1200">
                              <a:solidFill>
                                <a:schemeClr val="tx1"/>
                              </a:solidFill>
                              <a:latin typeface="Arial" pitchFamily="34" charset="0"/>
                              <a:ea typeface="Geneva"/>
                              <a:cs typeface="Geneva"/>
                            </a:defRPr>
                          </a:lvl7pPr>
                          <a:lvl8pPr marL="3200400" algn="l" defTabSz="914400" rtl="0" eaLnBrk="1" latinLnBrk="0" hangingPunct="1">
                            <a:defRPr sz="3200" kern="1200">
                              <a:solidFill>
                                <a:schemeClr val="tx1"/>
                              </a:solidFill>
                              <a:latin typeface="Arial" pitchFamily="34" charset="0"/>
                              <a:ea typeface="Geneva"/>
                              <a:cs typeface="Geneva"/>
                            </a:defRPr>
                          </a:lvl8pPr>
                          <a:lvl9pPr marL="3657600" algn="l" defTabSz="914400" rtl="0" eaLnBrk="1" latinLnBrk="0" hangingPunct="1">
                            <a:defRPr sz="3200" kern="1200">
                              <a:solidFill>
                                <a:schemeClr val="tx1"/>
                              </a:solidFill>
                              <a:latin typeface="Arial" pitchFamily="34" charset="0"/>
                              <a:ea typeface="Geneva"/>
                              <a:cs typeface="Geneva"/>
                            </a:defRPr>
                          </a:lvl9pPr>
                        </a:lstStyle>
                        <a:p>
                          <a:pPr marL="285750" indent="-285750">
                            <a:spcBef>
                              <a:spcPts val="600"/>
                            </a:spcBef>
                            <a:spcAft>
                              <a:spcPts val="600"/>
                            </a:spcAft>
                            <a:buFont typeface="Arial" pitchFamily="34" charset="0"/>
                            <a:buChar char="•"/>
                          </a:pPr>
                          <a:r>
                            <a:rPr lang="en-ZA" sz="1700" dirty="0" smtClean="0"/>
                            <a:t>Rhino Oil &amp; Gas Exploration South Africa (Pty) Ltd has lodged an exploration rights application with the Petroleum Agency South Africa (PASA). </a:t>
                          </a:r>
                        </a:p>
                        <a:p>
                          <a:pPr marL="285750" indent="-285750">
                            <a:spcBef>
                              <a:spcPts val="600"/>
                            </a:spcBef>
                            <a:spcAft>
                              <a:spcPts val="600"/>
                            </a:spcAft>
                            <a:buFont typeface="Arial" pitchFamily="34" charset="0"/>
                            <a:buChar char="•"/>
                          </a:pPr>
                          <a:r>
                            <a:rPr lang="en-ZA" sz="1700" dirty="0" smtClean="0"/>
                            <a:t>Minerals included in the application are: oil &amp; gas, condensate, CBM, helium and biogenic gas. </a:t>
                          </a:r>
                        </a:p>
                        <a:p>
                          <a:pPr marL="285750" indent="-285750">
                            <a:spcBef>
                              <a:spcPts val="600"/>
                            </a:spcBef>
                            <a:spcAft>
                              <a:spcPts val="600"/>
                            </a:spcAft>
                            <a:buFont typeface="Arial" pitchFamily="34" charset="0"/>
                            <a:buChar char="•"/>
                          </a:pPr>
                          <a:r>
                            <a:rPr lang="en-ZA" sz="1700" dirty="0" smtClean="0"/>
                            <a:t>The exploration area (designated as ER </a:t>
                          </a:r>
                          <a:r>
                            <a:rPr lang="en-ZA" sz="1700" dirty="0" smtClean="0"/>
                            <a:t>295 </a:t>
                          </a:r>
                          <a:r>
                            <a:rPr lang="en-ZA" sz="1700" dirty="0" smtClean="0"/>
                            <a:t>in the PASA hub </a:t>
                          </a:r>
                          <a:r>
                            <a:rPr lang="en-ZA" sz="1700" dirty="0" smtClean="0"/>
                            <a:t>BID </a:t>
                          </a:r>
                          <a:r>
                            <a:rPr lang="en-ZA" sz="1700" dirty="0" smtClean="0"/>
                            <a:t>provided by SLR) encompasses </a:t>
                          </a:r>
                          <a:r>
                            <a:rPr lang="en-ZA" sz="1700" dirty="0" smtClean="0"/>
                            <a:t>120 000ha (2,000 </a:t>
                          </a:r>
                          <a:r>
                            <a:rPr lang="en-ZA" sz="1700" dirty="0" smtClean="0"/>
                            <a:t>farms including some protected areas</a:t>
                          </a:r>
                          <a:r>
                            <a:rPr lang="en-ZA" sz="1700" dirty="0" smtClean="0"/>
                            <a:t>).</a:t>
                          </a:r>
                          <a:endParaRPr lang="en-ZA" sz="1700" dirty="0" smtClean="0"/>
                        </a:p>
                        <a:p>
                          <a:pPr marL="285750" indent="-285750">
                            <a:spcBef>
                              <a:spcPts val="600"/>
                            </a:spcBef>
                            <a:spcAft>
                              <a:spcPts val="600"/>
                            </a:spcAft>
                            <a:buFont typeface="Arial" pitchFamily="34" charset="0"/>
                            <a:buChar char="•"/>
                          </a:pPr>
                          <a:r>
                            <a:rPr lang="en-ZA" sz="1700" dirty="0" smtClean="0"/>
                            <a:t>Early phase exploration (3 years) to determine presence of targeted minerals using “non-invasive” exploration techniques (seismic surveying, core drilling </a:t>
                          </a:r>
                          <a:r>
                            <a:rPr lang="en-ZA" sz="1700" dirty="0" err="1" smtClean="0"/>
                            <a:t>etc</a:t>
                          </a:r>
                          <a:r>
                            <a:rPr lang="en-ZA" sz="1700" dirty="0" smtClean="0"/>
                            <a:t>; no hydraulic fracturing).</a:t>
                          </a:r>
                        </a:p>
                        <a:p>
                          <a:pPr marL="285750" indent="-285750">
                            <a:spcBef>
                              <a:spcPts val="600"/>
                            </a:spcBef>
                            <a:spcAft>
                              <a:spcPts val="600"/>
                            </a:spcAft>
                            <a:buFont typeface="Arial" pitchFamily="34" charset="0"/>
                            <a:buChar char="•"/>
                          </a:pPr>
                          <a:r>
                            <a:rPr lang="en-ZA" sz="1700" dirty="0" smtClean="0"/>
                            <a:t>The exploration rights application must include an environmental assessment.</a:t>
                          </a:r>
                        </a:p>
                        <a:p>
                          <a:pPr marL="285750" indent="-285750">
                            <a:spcBef>
                              <a:spcPts val="600"/>
                            </a:spcBef>
                            <a:spcAft>
                              <a:spcPts val="600"/>
                            </a:spcAft>
                            <a:buFont typeface="Arial" pitchFamily="34" charset="0"/>
                            <a:buChar char="•"/>
                          </a:pPr>
                          <a:r>
                            <a:rPr lang="en-ZA" sz="1700" dirty="0" smtClean="0"/>
                            <a:t>The BID lists a number of possible environmental impacts, but the crux of the problem is summarised in the sentence “…approval of this work could open the way for future, larger-scale projects in the area. These may have much greater impact and be difficult to stop if investment has been made.”</a:t>
                          </a:r>
                          <a:endParaRPr lang="en-ZA" sz="1700" dirty="0"/>
                        </a:p>
                      </a:txBody>
                      <a:useSpRect/>
                    </a:txSp>
                  </a:sp>
                </lc:lockedCanvas>
              </a:graphicData>
            </a:graphic>
          </wp:inline>
        </w:drawing>
      </w:r>
    </w:p>
    <w:p w:rsidR="007E4B92" w:rsidRDefault="007E4B92" w:rsidP="0070333A">
      <w:pPr>
        <w:ind w:left="360"/>
        <w:rPr>
          <w:lang w:val="en-ZA"/>
        </w:rPr>
      </w:pPr>
    </w:p>
    <w:p w:rsidR="007E4B92" w:rsidRDefault="007E4B92" w:rsidP="0070333A">
      <w:pPr>
        <w:ind w:left="360"/>
        <w:rPr>
          <w:lang w:val="en-ZA"/>
        </w:rPr>
      </w:pPr>
      <w:r>
        <w:rPr>
          <w:noProof/>
        </w:rPr>
        <w:lastRenderedPageBreak/>
        <w:drawing>
          <wp:inline distT="0" distB="0" distL="0" distR="0">
            <wp:extent cx="9091295" cy="6428740"/>
            <wp:effectExtent l="19050" t="0" r="0" b="0"/>
            <wp:docPr id="11" name="Picture 10" descr="NoGo zones in Matat draft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Go zones in Matat draft 1.jpeg"/>
                    <pic:cNvPicPr/>
                  </pic:nvPicPr>
                  <pic:blipFill>
                    <a:blip r:embed="rId10"/>
                    <a:stretch>
                      <a:fillRect/>
                    </a:stretch>
                  </pic:blipFill>
                  <pic:spPr>
                    <a:xfrm>
                      <a:off x="0" y="0"/>
                      <a:ext cx="9091295" cy="6428740"/>
                    </a:xfrm>
                    <a:prstGeom prst="rect">
                      <a:avLst/>
                    </a:prstGeom>
                  </pic:spPr>
                </pic:pic>
              </a:graphicData>
            </a:graphic>
          </wp:inline>
        </w:drawing>
      </w:r>
    </w:p>
    <w:p w:rsidR="0070333A" w:rsidRDefault="0070333A" w:rsidP="0070333A">
      <w:pPr>
        <w:ind w:left="360"/>
        <w:rPr>
          <w:lang w:val="en-ZA"/>
        </w:rPr>
      </w:pPr>
      <w:r w:rsidRPr="0070333A">
        <w:rPr>
          <w:noProof/>
        </w:rPr>
        <w:drawing>
          <wp:inline distT="0" distB="0" distL="0" distR="0">
            <wp:extent cx="8722179" cy="6215742"/>
            <wp:effectExtent l="19050" t="0" r="2721" b="0"/>
            <wp:docPr id="5" name="Picture 5" descr="http://na.unep.net/geas/articleImages/Nov-12-figure-4.png"/>
            <wp:cNvGraphicFramePr/>
            <a:graphic xmlns:a="http://schemas.openxmlformats.org/drawingml/2006/main">
              <a:graphicData uri="http://schemas.openxmlformats.org/drawingml/2006/picture">
                <pic:pic xmlns:pic="http://schemas.openxmlformats.org/drawingml/2006/picture">
                  <pic:nvPicPr>
                    <pic:cNvPr id="89090" name="Picture 2" descr="http://na.unep.net/geas/articleImages/Nov-12-figure-4.png"/>
                    <pic:cNvPicPr>
                      <a:picLocks noChangeAspect="1" noChangeArrowheads="1"/>
                    </pic:cNvPicPr>
                  </pic:nvPicPr>
                  <pic:blipFill>
                    <a:blip r:embed="rId11">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8730928" cy="6221977"/>
                    </a:xfrm>
                    <a:prstGeom prst="rect">
                      <a:avLst/>
                    </a:prstGeom>
                    <a:noFill/>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952389" w:rsidRDefault="00952389" w:rsidP="0070333A">
      <w:pPr>
        <w:ind w:left="360"/>
        <w:rPr>
          <w:lang w:val="en-ZA"/>
        </w:rPr>
      </w:pPr>
    </w:p>
    <w:p w:rsidR="00952389" w:rsidRDefault="00952389" w:rsidP="0070333A">
      <w:pPr>
        <w:ind w:left="360"/>
        <w:rPr>
          <w:lang w:val="en-ZA"/>
        </w:rPr>
      </w:pPr>
    </w:p>
    <w:p w:rsidR="00952389" w:rsidRDefault="00952389" w:rsidP="0070333A">
      <w:pPr>
        <w:ind w:left="360"/>
        <w:rPr>
          <w:lang w:val="en-ZA"/>
        </w:rPr>
      </w:pPr>
    </w:p>
    <w:p w:rsidR="00952389" w:rsidRPr="00952389" w:rsidRDefault="00952389" w:rsidP="0070333A">
      <w:pPr>
        <w:ind w:left="360"/>
        <w:rPr>
          <w:b/>
          <w:sz w:val="36"/>
          <w:szCs w:val="36"/>
          <w:lang w:val="en-ZA"/>
        </w:rPr>
      </w:pPr>
      <w:r w:rsidRPr="00952389">
        <w:rPr>
          <w:b/>
          <w:sz w:val="36"/>
          <w:szCs w:val="36"/>
          <w:lang w:val="en-GB"/>
        </w:rPr>
        <w:t>Main water issues associat</w:t>
      </w:r>
      <w:r>
        <w:rPr>
          <w:b/>
          <w:sz w:val="36"/>
          <w:szCs w:val="36"/>
          <w:lang w:val="en-GB"/>
        </w:rPr>
        <w:t>ed with</w:t>
      </w:r>
      <w:r w:rsidRPr="00952389">
        <w:rPr>
          <w:b/>
          <w:sz w:val="36"/>
          <w:szCs w:val="36"/>
          <w:lang w:val="en-GB"/>
        </w:rPr>
        <w:t xml:space="preserve"> U</w:t>
      </w:r>
      <w:r>
        <w:rPr>
          <w:b/>
          <w:sz w:val="36"/>
          <w:szCs w:val="36"/>
          <w:lang w:val="en-GB"/>
        </w:rPr>
        <w:t xml:space="preserve">nconventional </w:t>
      </w:r>
      <w:r w:rsidRPr="00952389">
        <w:rPr>
          <w:b/>
          <w:sz w:val="36"/>
          <w:szCs w:val="36"/>
          <w:lang w:val="en-GB"/>
        </w:rPr>
        <w:t>G</w:t>
      </w:r>
      <w:r>
        <w:rPr>
          <w:b/>
          <w:sz w:val="36"/>
          <w:szCs w:val="36"/>
          <w:lang w:val="en-GB"/>
        </w:rPr>
        <w:t>as</w:t>
      </w:r>
    </w:p>
    <w:p w:rsidR="00952389" w:rsidRDefault="00952389" w:rsidP="0070333A">
      <w:pPr>
        <w:ind w:left="360"/>
        <w:rPr>
          <w:lang w:val="en-ZA"/>
        </w:rPr>
      </w:pPr>
      <w:r w:rsidRPr="00952389">
        <w:rPr>
          <w:noProof/>
        </w:rPr>
        <w:drawing>
          <wp:inline distT="0" distB="0" distL="0" distR="0">
            <wp:extent cx="6313715" cy="3374572"/>
            <wp:effectExtent l="0" t="0" r="0" b="0"/>
            <wp:docPr id="6" name="Object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321675" cy="4729258"/>
                      <a:chOff x="504825" y="1654914"/>
                      <a:chExt cx="8321675" cy="4729258"/>
                    </a:xfrm>
                  </a:grpSpPr>
                  <a:sp>
                    <a:nvSpPr>
                      <a:cNvPr id="15364" name="Title 1"/>
                      <a:cNvSpPr txBox="1">
                        <a:spLocks/>
                      </a:cNvSpPr>
                    </a:nvSpPr>
                    <a:spPr bwMode="auto">
                      <a:xfrm>
                        <a:off x="504825" y="1654914"/>
                        <a:ext cx="8321675" cy="4729258"/>
                      </a:xfrm>
                      <a:prstGeom prst="rect">
                        <a:avLst/>
                      </a:prstGeom>
                      <a:noFill/>
                      <a:ln>
                        <a:noFill/>
                      </a:ln>
                      <a:extLst>
                        <a:ext uri="{909E8E84-426E-40DD-AFC4-6F175D3DCCD1}">
                          <a14:hiddenFill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a:spPr>
                    <a:txSp>
                      <a:txBody>
                        <a:bodyPr/>
                        <a:lstStyle>
                          <a:defPPr>
                            <a:defRPr lang="en-ZA"/>
                          </a:defPPr>
                          <a:lvl1pPr algn="l" defTabSz="457200" rtl="0" fontAlgn="base">
                            <a:spcBef>
                              <a:spcPct val="0"/>
                            </a:spcBef>
                            <a:spcAft>
                              <a:spcPct val="0"/>
                            </a:spcAft>
                            <a:defRPr sz="3200" kern="1200">
                              <a:solidFill>
                                <a:schemeClr val="tx1"/>
                              </a:solidFill>
                              <a:latin typeface="Arial" pitchFamily="34" charset="0"/>
                              <a:ea typeface="Geneva"/>
                              <a:cs typeface="Geneva"/>
                            </a:defRPr>
                          </a:lvl1pPr>
                          <a:lvl2pPr marL="457200" algn="l" defTabSz="457200" rtl="0" fontAlgn="base">
                            <a:spcBef>
                              <a:spcPct val="0"/>
                            </a:spcBef>
                            <a:spcAft>
                              <a:spcPct val="0"/>
                            </a:spcAft>
                            <a:defRPr sz="3200" kern="1200">
                              <a:solidFill>
                                <a:schemeClr val="tx1"/>
                              </a:solidFill>
                              <a:latin typeface="Arial" pitchFamily="34" charset="0"/>
                              <a:ea typeface="Geneva"/>
                              <a:cs typeface="Geneva"/>
                            </a:defRPr>
                          </a:lvl2pPr>
                          <a:lvl3pPr marL="914400" algn="l" defTabSz="457200" rtl="0" fontAlgn="base">
                            <a:spcBef>
                              <a:spcPct val="0"/>
                            </a:spcBef>
                            <a:spcAft>
                              <a:spcPct val="0"/>
                            </a:spcAft>
                            <a:defRPr sz="3200" kern="1200">
                              <a:solidFill>
                                <a:schemeClr val="tx1"/>
                              </a:solidFill>
                              <a:latin typeface="Arial" pitchFamily="34" charset="0"/>
                              <a:ea typeface="Geneva"/>
                              <a:cs typeface="Geneva"/>
                            </a:defRPr>
                          </a:lvl3pPr>
                          <a:lvl4pPr marL="1371600" algn="l" defTabSz="457200" rtl="0" fontAlgn="base">
                            <a:spcBef>
                              <a:spcPct val="0"/>
                            </a:spcBef>
                            <a:spcAft>
                              <a:spcPct val="0"/>
                            </a:spcAft>
                            <a:defRPr sz="3200" kern="1200">
                              <a:solidFill>
                                <a:schemeClr val="tx1"/>
                              </a:solidFill>
                              <a:latin typeface="Arial" pitchFamily="34" charset="0"/>
                              <a:ea typeface="Geneva"/>
                              <a:cs typeface="Geneva"/>
                            </a:defRPr>
                          </a:lvl4pPr>
                          <a:lvl5pPr marL="1828800" algn="l" defTabSz="457200" rtl="0" fontAlgn="base">
                            <a:spcBef>
                              <a:spcPct val="0"/>
                            </a:spcBef>
                            <a:spcAft>
                              <a:spcPct val="0"/>
                            </a:spcAft>
                            <a:defRPr sz="3200" kern="1200">
                              <a:solidFill>
                                <a:schemeClr val="tx1"/>
                              </a:solidFill>
                              <a:latin typeface="Arial" pitchFamily="34" charset="0"/>
                              <a:ea typeface="Geneva"/>
                              <a:cs typeface="Geneva"/>
                            </a:defRPr>
                          </a:lvl5pPr>
                          <a:lvl6pPr marL="2286000" algn="l" defTabSz="914400" rtl="0" eaLnBrk="1" latinLnBrk="0" hangingPunct="1">
                            <a:defRPr sz="3200" kern="1200">
                              <a:solidFill>
                                <a:schemeClr val="tx1"/>
                              </a:solidFill>
                              <a:latin typeface="Arial" pitchFamily="34" charset="0"/>
                              <a:ea typeface="Geneva"/>
                              <a:cs typeface="Geneva"/>
                            </a:defRPr>
                          </a:lvl6pPr>
                          <a:lvl7pPr marL="2743200" algn="l" defTabSz="914400" rtl="0" eaLnBrk="1" latinLnBrk="0" hangingPunct="1">
                            <a:defRPr sz="3200" kern="1200">
                              <a:solidFill>
                                <a:schemeClr val="tx1"/>
                              </a:solidFill>
                              <a:latin typeface="Arial" pitchFamily="34" charset="0"/>
                              <a:ea typeface="Geneva"/>
                              <a:cs typeface="Geneva"/>
                            </a:defRPr>
                          </a:lvl7pPr>
                          <a:lvl8pPr marL="3200400" algn="l" defTabSz="914400" rtl="0" eaLnBrk="1" latinLnBrk="0" hangingPunct="1">
                            <a:defRPr sz="3200" kern="1200">
                              <a:solidFill>
                                <a:schemeClr val="tx1"/>
                              </a:solidFill>
                              <a:latin typeface="Arial" pitchFamily="34" charset="0"/>
                              <a:ea typeface="Geneva"/>
                              <a:cs typeface="Geneva"/>
                            </a:defRPr>
                          </a:lvl8pPr>
                          <a:lvl9pPr marL="3657600" algn="l" defTabSz="914400" rtl="0" eaLnBrk="1" latinLnBrk="0" hangingPunct="1">
                            <a:defRPr sz="3200" kern="1200">
                              <a:solidFill>
                                <a:schemeClr val="tx1"/>
                              </a:solidFill>
                              <a:latin typeface="Arial" pitchFamily="34" charset="0"/>
                              <a:ea typeface="Geneva"/>
                              <a:cs typeface="Geneva"/>
                            </a:defRPr>
                          </a:lvl9pPr>
                        </a:lstStyle>
                        <a:p>
                          <a:pPr marL="342900" indent="-342900" algn="just">
                            <a:spcBef>
                              <a:spcPts val="600"/>
                            </a:spcBef>
                            <a:spcAft>
                              <a:spcPts val="600"/>
                            </a:spcAft>
                            <a:buFont typeface="+mj-lt"/>
                            <a:buAutoNum type="arabicPeriod"/>
                          </a:pPr>
                          <a:r>
                            <a:rPr lang="en-ZA" sz="1800" b="1" dirty="0"/>
                            <a:t>Water sourcing: </a:t>
                          </a:r>
                          <a:r>
                            <a:rPr lang="en-ZA" sz="1800" dirty="0"/>
                            <a:t>Drilling and completion of </a:t>
                          </a:r>
                          <a:r>
                            <a:rPr lang="en-ZA" sz="1800" dirty="0" smtClean="0"/>
                            <a:t>UG wells requires </a:t>
                          </a:r>
                          <a:r>
                            <a:rPr lang="en-ZA" sz="1800" dirty="0"/>
                            <a:t>water inputs in the </a:t>
                          </a:r>
                          <a:r>
                            <a:rPr lang="en-ZA" sz="1800" dirty="0" smtClean="0"/>
                            <a:t>order of </a:t>
                          </a:r>
                          <a:r>
                            <a:rPr lang="en-ZA" sz="1800" dirty="0"/>
                            <a:t>several million litres per well, which can impact on local ecosystems and can compete </a:t>
                          </a:r>
                          <a:r>
                            <a:rPr lang="en-ZA" sz="1800" dirty="0" smtClean="0"/>
                            <a:t>with existing </a:t>
                          </a:r>
                          <a:r>
                            <a:rPr lang="en-ZA" sz="1800" dirty="0"/>
                            <a:t>local and regional water </a:t>
                          </a:r>
                          <a:r>
                            <a:rPr lang="en-ZA" sz="1800" dirty="0" smtClean="0"/>
                            <a:t>uses.</a:t>
                          </a:r>
                        </a:p>
                        <a:p>
                          <a:pPr marL="342900" indent="-342900" algn="just">
                            <a:spcBef>
                              <a:spcPts val="600"/>
                            </a:spcBef>
                            <a:spcAft>
                              <a:spcPts val="600"/>
                            </a:spcAft>
                            <a:buFont typeface="+mj-lt"/>
                            <a:buAutoNum type="arabicPeriod"/>
                          </a:pPr>
                          <a:r>
                            <a:rPr lang="en-ZA" sz="1800" b="1" dirty="0" smtClean="0"/>
                            <a:t>Water </a:t>
                          </a:r>
                          <a:r>
                            <a:rPr lang="en-ZA" sz="1800" b="1" dirty="0"/>
                            <a:t>contamination: </a:t>
                          </a:r>
                          <a:r>
                            <a:rPr lang="en-ZA" sz="1800" dirty="0"/>
                            <a:t>There are several possible pathways for water contamination by </a:t>
                          </a:r>
                          <a:r>
                            <a:rPr lang="en-ZA" sz="1800" dirty="0" smtClean="0"/>
                            <a:t>UG developments</a:t>
                          </a:r>
                          <a:r>
                            <a:rPr lang="en-ZA" sz="1800" dirty="0"/>
                            <a:t>, both below and above the ground level, caused by faulty well construction</a:t>
                          </a:r>
                          <a:r>
                            <a:rPr lang="en-ZA" sz="1800" dirty="0" smtClean="0"/>
                            <a:t>, migration </a:t>
                          </a:r>
                          <a:r>
                            <a:rPr lang="en-ZA" sz="1800" dirty="0"/>
                            <a:t>of fracturing fluid in natural pathways, or the mishandling of the chemicals used </a:t>
                          </a:r>
                          <a:r>
                            <a:rPr lang="en-ZA" sz="1800" dirty="0" smtClean="0"/>
                            <a:t>for hydraulic </a:t>
                          </a:r>
                          <a:r>
                            <a:rPr lang="en-ZA" sz="1800" dirty="0"/>
                            <a:t>fracturing or its wastewater</a:t>
                          </a:r>
                          <a:r>
                            <a:rPr lang="en-ZA" sz="1800" dirty="0" smtClean="0"/>
                            <a:t>.</a:t>
                          </a:r>
                        </a:p>
                        <a:p>
                          <a:pPr marL="342900" indent="-342900" algn="just">
                            <a:spcBef>
                              <a:spcPts val="600"/>
                            </a:spcBef>
                            <a:spcAft>
                              <a:spcPts val="600"/>
                            </a:spcAft>
                            <a:buFont typeface="+mj-lt"/>
                            <a:buAutoNum type="arabicPeriod"/>
                          </a:pPr>
                          <a:r>
                            <a:rPr lang="en-ZA" sz="1800" b="1" dirty="0" smtClean="0"/>
                            <a:t>Wastewater </a:t>
                          </a:r>
                          <a:r>
                            <a:rPr lang="en-ZA" sz="1800" b="1" dirty="0"/>
                            <a:t>management and disposal: </a:t>
                          </a:r>
                          <a:r>
                            <a:rPr lang="en-ZA" sz="1800" dirty="0"/>
                            <a:t>Some portion of the injected fracturing </a:t>
                          </a:r>
                          <a:r>
                            <a:rPr lang="en-ZA" sz="1800" dirty="0" smtClean="0"/>
                            <a:t>fluid returns </a:t>
                          </a:r>
                          <a:r>
                            <a:rPr lang="en-ZA" sz="1800" dirty="0"/>
                            <a:t>to the surface through the well, following the well’s completion. This water can run </a:t>
                          </a:r>
                          <a:r>
                            <a:rPr lang="en-ZA" sz="1800" dirty="0" smtClean="0"/>
                            <a:t>into millions </a:t>
                          </a:r>
                          <a:r>
                            <a:rPr lang="en-ZA" sz="1800" dirty="0"/>
                            <a:t>of litres and is high in dissolved minerals, including trace amounts of naturally </a:t>
                          </a:r>
                          <a:r>
                            <a:rPr lang="en-ZA" sz="1800" dirty="0" smtClean="0"/>
                            <a:t>occurring radioactive </a:t>
                          </a:r>
                          <a:r>
                            <a:rPr lang="en-ZA" sz="1800" dirty="0"/>
                            <a:t>metals (NORMs), residual fracturing chemicals and dissolved hydrocarbons</a:t>
                          </a:r>
                          <a:r>
                            <a:rPr lang="en-ZA" sz="1800" dirty="0" smtClean="0"/>
                            <a:t>. If </a:t>
                          </a:r>
                          <a:r>
                            <a:rPr lang="en-ZA" sz="1800" dirty="0"/>
                            <a:t>managed improperly, it represents a significant threat to human health and the environment.</a:t>
                          </a:r>
                          <a:endParaRPr lang="en-ZA" sz="1800" dirty="0" smtClean="0">
                            <a:solidFill>
                              <a:srgbClr val="404040"/>
                            </a:solidFill>
                          </a:endParaRPr>
                        </a:p>
                      </a:txBody>
                      <a:useSpRect/>
                    </a:txSp>
                  </a:sp>
                </lc:lockedCanvas>
              </a:graphicData>
            </a:graphic>
          </wp:inline>
        </w:drawing>
      </w:r>
      <w:r w:rsidRPr="00952389">
        <w:rPr>
          <w:noProof/>
        </w:rPr>
        <w:drawing>
          <wp:inline distT="0" distB="0" distL="0" distR="0">
            <wp:extent cx="3176585" cy="2523753"/>
            <wp:effectExtent l="19050" t="0" r="4765" b="0"/>
            <wp:docPr id="7" name="Picture 7"/>
            <wp:cNvGraphicFramePr/>
            <a:graphic xmlns:a="http://schemas.openxmlformats.org/drawingml/2006/main">
              <a:graphicData uri="http://schemas.openxmlformats.org/drawingml/2006/picture">
                <pic:pic xmlns:pic="http://schemas.openxmlformats.org/drawingml/2006/picture">
                  <pic:nvPicPr>
                    <pic:cNvPr id="5125" name="Picture 5"/>
                    <pic:cNvPicPr>
                      <a:picLocks noChangeAspect="1" noChangeArrowheads="1"/>
                    </pic:cNvPicPr>
                  </pic:nvPicPr>
                  <pic:blipFill>
                    <a:blip r:embed="rId12">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3176585" cy="2523753"/>
                    </a:xfrm>
                    <a:prstGeom prst="rect">
                      <a:avLst/>
                    </a:prstGeom>
                    <a:noFill/>
                    <a:ln>
                      <a:noFill/>
                    </a:ln>
                    <a:effectLst/>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Pr>
          <w:lang w:val="en-ZA"/>
        </w:rPr>
        <w:t xml:space="preserve"> </w:t>
      </w:r>
      <w:r w:rsidRPr="00952389">
        <w:rPr>
          <w:noProof/>
        </w:rPr>
        <w:drawing>
          <wp:inline distT="0" distB="0" distL="0" distR="0">
            <wp:extent cx="2549979" cy="2525486"/>
            <wp:effectExtent l="19050" t="0" r="2721" b="0"/>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793687" cy="1971727"/>
                      <a:chOff x="1254057" y="1889760"/>
                      <a:chExt cx="2793687" cy="1971727"/>
                    </a:xfrm>
                  </a:grpSpPr>
                  <a:grpSp>
                    <a:nvGrpSpPr>
                      <a:cNvPr id="3" name="Group 2"/>
                      <a:cNvGrpSpPr/>
                    </a:nvGrpSpPr>
                    <a:grpSpPr>
                      <a:xfrm>
                        <a:off x="1254057" y="1889760"/>
                        <a:ext cx="2793687" cy="1971727"/>
                        <a:chOff x="620073" y="1938527"/>
                        <a:chExt cx="3444730" cy="2817463"/>
                      </a:xfrm>
                    </a:grpSpPr>
                    <a:pic>
                      <a:nvPicPr>
                        <a:cNvPr id="5124" name="Picture 4"/>
                        <a:cNvPicPr>
                          <a:picLocks noChangeAspect="1" noChangeArrowheads="1"/>
                        </a:cNvPicPr>
                      </a:nvPicPr>
                      <a:blipFill>
                        <a:blip r:embed="rId13">
                          <a:extLst>
                            <a:ext uri="{28A0092B-C50C-407E-A947-70E740481C1C}">
                              <a14:useLocalDpi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a:blipFill>
                      <a:spPr bwMode="auto">
                        <a:xfrm>
                          <a:off x="620073" y="1938527"/>
                          <a:ext cx="3444730" cy="2488311"/>
                        </a:xfrm>
                        <a:prstGeom prst="rect">
                          <a:avLst/>
                        </a:prstGeom>
                        <a:noFill/>
                        <a:ln>
                          <a:noFill/>
                        </a:ln>
                        <a:effectLst/>
                        <a:extLst>
                          <a:ext uri="{909E8E84-426E-40DD-AFC4-6F175D3DCCD1}">
                            <a14:hiddenFill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a:spPr>
                    </a:pic>
                    <a:sp>
                      <a:nvSpPr>
                        <a:cNvPr id="2" name="TextBox 1"/>
                        <a:cNvSpPr txBox="1"/>
                      </a:nvSpPr>
                      <a:spPr>
                        <a:xfrm>
                          <a:off x="620073" y="4426838"/>
                          <a:ext cx="3444730" cy="329152"/>
                        </a:xfrm>
                        <a:prstGeom prst="rect">
                          <a:avLst/>
                        </a:prstGeom>
                        <a:noFill/>
                      </a:spPr>
                      <a:txSp>
                        <a:txBody>
                          <a:bodyPr wrap="square" rtlCol="0">
                            <a:spAutoFit/>
                          </a:bodyPr>
                          <a:lstStyle>
                            <a:defPPr>
                              <a:defRPr lang="en-ZA"/>
                            </a:defPPr>
                            <a:lvl1pPr algn="l" defTabSz="457200" rtl="0" fontAlgn="base">
                              <a:spcBef>
                                <a:spcPct val="0"/>
                              </a:spcBef>
                              <a:spcAft>
                                <a:spcPct val="0"/>
                              </a:spcAft>
                              <a:defRPr sz="3200" kern="1200">
                                <a:solidFill>
                                  <a:schemeClr val="tx1"/>
                                </a:solidFill>
                                <a:latin typeface="Arial" pitchFamily="34" charset="0"/>
                                <a:ea typeface="Geneva"/>
                                <a:cs typeface="Geneva"/>
                              </a:defRPr>
                            </a:lvl1pPr>
                            <a:lvl2pPr marL="457200" algn="l" defTabSz="457200" rtl="0" fontAlgn="base">
                              <a:spcBef>
                                <a:spcPct val="0"/>
                              </a:spcBef>
                              <a:spcAft>
                                <a:spcPct val="0"/>
                              </a:spcAft>
                              <a:defRPr sz="3200" kern="1200">
                                <a:solidFill>
                                  <a:schemeClr val="tx1"/>
                                </a:solidFill>
                                <a:latin typeface="Arial" pitchFamily="34" charset="0"/>
                                <a:ea typeface="Geneva"/>
                                <a:cs typeface="Geneva"/>
                              </a:defRPr>
                            </a:lvl2pPr>
                            <a:lvl3pPr marL="914400" algn="l" defTabSz="457200" rtl="0" fontAlgn="base">
                              <a:spcBef>
                                <a:spcPct val="0"/>
                              </a:spcBef>
                              <a:spcAft>
                                <a:spcPct val="0"/>
                              </a:spcAft>
                              <a:defRPr sz="3200" kern="1200">
                                <a:solidFill>
                                  <a:schemeClr val="tx1"/>
                                </a:solidFill>
                                <a:latin typeface="Arial" pitchFamily="34" charset="0"/>
                                <a:ea typeface="Geneva"/>
                                <a:cs typeface="Geneva"/>
                              </a:defRPr>
                            </a:lvl3pPr>
                            <a:lvl4pPr marL="1371600" algn="l" defTabSz="457200" rtl="0" fontAlgn="base">
                              <a:spcBef>
                                <a:spcPct val="0"/>
                              </a:spcBef>
                              <a:spcAft>
                                <a:spcPct val="0"/>
                              </a:spcAft>
                              <a:defRPr sz="3200" kern="1200">
                                <a:solidFill>
                                  <a:schemeClr val="tx1"/>
                                </a:solidFill>
                                <a:latin typeface="Arial" pitchFamily="34" charset="0"/>
                                <a:ea typeface="Geneva"/>
                                <a:cs typeface="Geneva"/>
                              </a:defRPr>
                            </a:lvl4pPr>
                            <a:lvl5pPr marL="1828800" algn="l" defTabSz="457200" rtl="0" fontAlgn="base">
                              <a:spcBef>
                                <a:spcPct val="0"/>
                              </a:spcBef>
                              <a:spcAft>
                                <a:spcPct val="0"/>
                              </a:spcAft>
                              <a:defRPr sz="3200" kern="1200">
                                <a:solidFill>
                                  <a:schemeClr val="tx1"/>
                                </a:solidFill>
                                <a:latin typeface="Arial" pitchFamily="34" charset="0"/>
                                <a:ea typeface="Geneva"/>
                                <a:cs typeface="Geneva"/>
                              </a:defRPr>
                            </a:lvl5pPr>
                            <a:lvl6pPr marL="2286000" algn="l" defTabSz="914400" rtl="0" eaLnBrk="1" latinLnBrk="0" hangingPunct="1">
                              <a:defRPr sz="3200" kern="1200">
                                <a:solidFill>
                                  <a:schemeClr val="tx1"/>
                                </a:solidFill>
                                <a:latin typeface="Arial" pitchFamily="34" charset="0"/>
                                <a:ea typeface="Geneva"/>
                                <a:cs typeface="Geneva"/>
                              </a:defRPr>
                            </a:lvl6pPr>
                            <a:lvl7pPr marL="2743200" algn="l" defTabSz="914400" rtl="0" eaLnBrk="1" latinLnBrk="0" hangingPunct="1">
                              <a:defRPr sz="3200" kern="1200">
                                <a:solidFill>
                                  <a:schemeClr val="tx1"/>
                                </a:solidFill>
                                <a:latin typeface="Arial" pitchFamily="34" charset="0"/>
                                <a:ea typeface="Geneva"/>
                                <a:cs typeface="Geneva"/>
                              </a:defRPr>
                            </a:lvl7pPr>
                            <a:lvl8pPr marL="3200400" algn="l" defTabSz="914400" rtl="0" eaLnBrk="1" latinLnBrk="0" hangingPunct="1">
                              <a:defRPr sz="3200" kern="1200">
                                <a:solidFill>
                                  <a:schemeClr val="tx1"/>
                                </a:solidFill>
                                <a:latin typeface="Arial" pitchFamily="34" charset="0"/>
                                <a:ea typeface="Geneva"/>
                                <a:cs typeface="Geneva"/>
                              </a:defRPr>
                            </a:lvl8pPr>
                            <a:lvl9pPr marL="3657600" algn="l" defTabSz="914400" rtl="0" eaLnBrk="1" latinLnBrk="0" hangingPunct="1">
                              <a:defRPr sz="3200" kern="1200">
                                <a:solidFill>
                                  <a:schemeClr val="tx1"/>
                                </a:solidFill>
                                <a:latin typeface="Arial" pitchFamily="34" charset="0"/>
                                <a:ea typeface="Geneva"/>
                                <a:cs typeface="Geneva"/>
                              </a:defRPr>
                            </a:lvl9pPr>
                          </a:lstStyle>
                          <a:p>
                            <a:r>
                              <a:rPr lang="en-ZA" sz="1200" dirty="0"/>
                              <a:t>Jonah Field in Wyoming</a:t>
                            </a:r>
                          </a:p>
                        </a:txBody>
                        <a:useSpRect/>
                      </a:txSp>
                    </a:sp>
                  </a:grpSp>
                </lc:lockedCanvas>
              </a:graphicData>
            </a:graphic>
          </wp:inline>
        </w:drawing>
      </w:r>
      <w:r w:rsidRPr="00952389">
        <w:rPr>
          <w:noProof/>
        </w:rPr>
        <w:drawing>
          <wp:inline distT="0" distB="0" distL="0" distR="0">
            <wp:extent cx="2687629" cy="2536371"/>
            <wp:effectExtent l="19050" t="0" r="0" b="0"/>
            <wp:docPr id="9" name="Picture 9"/>
            <wp:cNvGraphicFramePr/>
            <a:graphic xmlns:a="http://schemas.openxmlformats.org/drawingml/2006/main">
              <a:graphicData uri="http://schemas.openxmlformats.org/drawingml/2006/picture">
                <pic:pic xmlns:pic="http://schemas.openxmlformats.org/drawingml/2006/picture">
                  <pic:nvPicPr>
                    <pic:cNvPr id="5126" name="Picture 6"/>
                    <pic:cNvPicPr>
                      <a:picLocks noChangeAspect="1" noChangeArrowheads="1"/>
                    </pic:cNvPicPr>
                  </pic:nvPicPr>
                  <pic:blipFill>
                    <a:blip r:embed="rId14">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a:stretch>
                      <a:fillRect/>
                    </a:stretch>
                  </pic:blipFill>
                  <pic:spPr bwMode="auto">
                    <a:xfrm>
                      <a:off x="0" y="0"/>
                      <a:ext cx="2687629" cy="2536371"/>
                    </a:xfrm>
                    <a:prstGeom prst="rect">
                      <a:avLst/>
                    </a:prstGeom>
                    <a:noFill/>
                    <a:ln>
                      <a:noFill/>
                    </a:ln>
                    <a:effectLst/>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p>
    <w:p w:rsidR="00952389" w:rsidRDefault="00952389" w:rsidP="0070333A">
      <w:pPr>
        <w:ind w:left="360"/>
        <w:rPr>
          <w:lang w:val="en-ZA"/>
        </w:rPr>
      </w:pPr>
    </w:p>
    <w:p w:rsidR="0070333A" w:rsidRDefault="0070333A" w:rsidP="0070333A">
      <w:pPr>
        <w:ind w:left="360"/>
        <w:rPr>
          <w:lang w:val="en-ZA"/>
        </w:rPr>
      </w:pPr>
      <w:r w:rsidRPr="0070333A">
        <w:rPr>
          <w:noProof/>
        </w:rPr>
        <w:drawing>
          <wp:inline distT="0" distB="0" distL="0" distR="0">
            <wp:extent cx="5246914" cy="4136571"/>
            <wp:effectExtent l="19050" t="0" r="0" b="0"/>
            <wp:docPr id="2" name="Picture 2"/>
            <wp:cNvGraphicFramePr/>
            <a:graphic xmlns:a="http://schemas.openxmlformats.org/drawingml/2006/main">
              <a:graphicData uri="http://schemas.openxmlformats.org/drawingml/2006/picture">
                <pic:pic xmlns:pic="http://schemas.openxmlformats.org/drawingml/2006/picture">
                  <pic:nvPicPr>
                    <pic:cNvPr id="8194" name="Picture 2"/>
                    <pic:cNvPicPr>
                      <a:picLocks noChangeAspect="1" noChangeArrowheads="1"/>
                    </pic:cNvPicPr>
                  </pic:nvPicPr>
                  <pic:blipFill>
                    <a:blip r:embed="rId15">
                      <a:extLst>
                        <a:ext uri="{28A0092B-C50C-407E-A947-70E740481C1C}">
                          <a14:useLocalDpi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val="0"/>
                        </a:ext>
                      </a:extLst>
                    </a:blip>
                    <a:srcRect l="7530"/>
                    <a:stretch>
                      <a:fillRect/>
                    </a:stretch>
                  </pic:blipFill>
                  <pic:spPr bwMode="auto">
                    <a:xfrm>
                      <a:off x="0" y="0"/>
                      <a:ext cx="5246914" cy="4136571"/>
                    </a:xfrm>
                    <a:prstGeom prst="rect">
                      <a:avLst/>
                    </a:prstGeom>
                    <a:noFill/>
                    <a:ln>
                      <a:noFill/>
                    </a:ln>
                    <a:effectLst/>
                    <a:extLst>
                      <a:ext uri="{909E8E84-426E-40DD-AFC4-6F175D3DCCD1}">
                        <a14:hiddenFill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solidFill>
                            <a:schemeClr val="accent1"/>
                          </a:solidFill>
                        </a14:hiddenFill>
                      </a:ext>
                      <a:ext uri="{91240B29-F687-4F45-9708-019B960494DF}">
                        <a14:hiddenLine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w="9525">
                          <a:solidFill>
                            <a:schemeClr val="tx1"/>
                          </a:solidFill>
                          <a:miter lim="800000"/>
                          <a:headEnd/>
                          <a:tailEnd/>
                        </a14:hiddenLine>
                      </a:ext>
                      <a:ext uri="{AF507438-7753-43E0-B8FC-AC1667EBCBE1}">
                        <a14:hiddenEffects xmlns:lc="http://schemas.openxmlformats.org/drawingml/2006/lockedCanvas" xmlns="" xmlns:a14="http://schemas.microsoft.com/office/drawing/2010/main" xmlns:p="http://schemas.openxmlformats.org/presentationml/2006/main" xmlns:w="http://schemas.openxmlformats.org/wordprocessingml/2006/main" xmlns:w10="urn:schemas-microsoft-com:office:word" xmlns:v="urn:schemas-microsoft-com:vml" xmlns:o="urn:schemas-microsoft-com:office:office">
                          <a:effectLst>
                            <a:outerShdw dist="35921" dir="2700000" algn="ctr" rotWithShape="0">
                              <a:schemeClr val="bg2"/>
                            </a:outerShdw>
                          </a:effectLst>
                        </a14:hiddenEffects>
                      </a:ext>
                    </a:extLst>
                  </pic:spPr>
                </pic:pic>
              </a:graphicData>
            </a:graphic>
          </wp:inline>
        </w:drawing>
      </w:r>
      <w:r w:rsidRPr="0070333A">
        <w:rPr>
          <w:noProof/>
        </w:rPr>
        <w:drawing>
          <wp:inline distT="0" distB="0" distL="0" distR="0">
            <wp:extent cx="3167743" cy="3995057"/>
            <wp:effectExtent l="0" t="0" r="0" b="0"/>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748249" cy="4016484"/>
                      <a:chOff x="6102635" y="2189696"/>
                      <a:chExt cx="2748249" cy="4016484"/>
                    </a:xfrm>
                  </a:grpSpPr>
                  <a:sp>
                    <a:nvSpPr>
                      <a:cNvPr id="2" name="TextBox 1"/>
                      <a:cNvSpPr txBox="1"/>
                    </a:nvSpPr>
                    <a:spPr>
                      <a:xfrm>
                        <a:off x="6102635" y="2189696"/>
                        <a:ext cx="2748249" cy="4016484"/>
                      </a:xfrm>
                      <a:prstGeom prst="rect">
                        <a:avLst/>
                      </a:prstGeom>
                      <a:noFill/>
                    </a:spPr>
                    <a:txSp>
                      <a:txBody>
                        <a:bodyPr wrap="square" rtlCol="0">
                          <a:spAutoFit/>
                        </a:bodyPr>
                        <a:lstStyle>
                          <a:defPPr>
                            <a:defRPr lang="en-ZA"/>
                          </a:defPPr>
                          <a:lvl1pPr algn="l" defTabSz="457200" rtl="0" fontAlgn="base">
                            <a:spcBef>
                              <a:spcPct val="0"/>
                            </a:spcBef>
                            <a:spcAft>
                              <a:spcPct val="0"/>
                            </a:spcAft>
                            <a:defRPr sz="3200" kern="1200">
                              <a:solidFill>
                                <a:schemeClr val="tx1"/>
                              </a:solidFill>
                              <a:latin typeface="Arial" pitchFamily="34" charset="0"/>
                              <a:ea typeface="Geneva"/>
                              <a:cs typeface="Geneva"/>
                            </a:defRPr>
                          </a:lvl1pPr>
                          <a:lvl2pPr marL="457200" algn="l" defTabSz="457200" rtl="0" fontAlgn="base">
                            <a:spcBef>
                              <a:spcPct val="0"/>
                            </a:spcBef>
                            <a:spcAft>
                              <a:spcPct val="0"/>
                            </a:spcAft>
                            <a:defRPr sz="3200" kern="1200">
                              <a:solidFill>
                                <a:schemeClr val="tx1"/>
                              </a:solidFill>
                              <a:latin typeface="Arial" pitchFamily="34" charset="0"/>
                              <a:ea typeface="Geneva"/>
                              <a:cs typeface="Geneva"/>
                            </a:defRPr>
                          </a:lvl2pPr>
                          <a:lvl3pPr marL="914400" algn="l" defTabSz="457200" rtl="0" fontAlgn="base">
                            <a:spcBef>
                              <a:spcPct val="0"/>
                            </a:spcBef>
                            <a:spcAft>
                              <a:spcPct val="0"/>
                            </a:spcAft>
                            <a:defRPr sz="3200" kern="1200">
                              <a:solidFill>
                                <a:schemeClr val="tx1"/>
                              </a:solidFill>
                              <a:latin typeface="Arial" pitchFamily="34" charset="0"/>
                              <a:ea typeface="Geneva"/>
                              <a:cs typeface="Geneva"/>
                            </a:defRPr>
                          </a:lvl3pPr>
                          <a:lvl4pPr marL="1371600" algn="l" defTabSz="457200" rtl="0" fontAlgn="base">
                            <a:spcBef>
                              <a:spcPct val="0"/>
                            </a:spcBef>
                            <a:spcAft>
                              <a:spcPct val="0"/>
                            </a:spcAft>
                            <a:defRPr sz="3200" kern="1200">
                              <a:solidFill>
                                <a:schemeClr val="tx1"/>
                              </a:solidFill>
                              <a:latin typeface="Arial" pitchFamily="34" charset="0"/>
                              <a:ea typeface="Geneva"/>
                              <a:cs typeface="Geneva"/>
                            </a:defRPr>
                          </a:lvl4pPr>
                          <a:lvl5pPr marL="1828800" algn="l" defTabSz="457200" rtl="0" fontAlgn="base">
                            <a:spcBef>
                              <a:spcPct val="0"/>
                            </a:spcBef>
                            <a:spcAft>
                              <a:spcPct val="0"/>
                            </a:spcAft>
                            <a:defRPr sz="3200" kern="1200">
                              <a:solidFill>
                                <a:schemeClr val="tx1"/>
                              </a:solidFill>
                              <a:latin typeface="Arial" pitchFamily="34" charset="0"/>
                              <a:ea typeface="Geneva"/>
                              <a:cs typeface="Geneva"/>
                            </a:defRPr>
                          </a:lvl5pPr>
                          <a:lvl6pPr marL="2286000" algn="l" defTabSz="914400" rtl="0" eaLnBrk="1" latinLnBrk="0" hangingPunct="1">
                            <a:defRPr sz="3200" kern="1200">
                              <a:solidFill>
                                <a:schemeClr val="tx1"/>
                              </a:solidFill>
                              <a:latin typeface="Arial" pitchFamily="34" charset="0"/>
                              <a:ea typeface="Geneva"/>
                              <a:cs typeface="Geneva"/>
                            </a:defRPr>
                          </a:lvl6pPr>
                          <a:lvl7pPr marL="2743200" algn="l" defTabSz="914400" rtl="0" eaLnBrk="1" latinLnBrk="0" hangingPunct="1">
                            <a:defRPr sz="3200" kern="1200">
                              <a:solidFill>
                                <a:schemeClr val="tx1"/>
                              </a:solidFill>
                              <a:latin typeface="Arial" pitchFamily="34" charset="0"/>
                              <a:ea typeface="Geneva"/>
                              <a:cs typeface="Geneva"/>
                            </a:defRPr>
                          </a:lvl7pPr>
                          <a:lvl8pPr marL="3200400" algn="l" defTabSz="914400" rtl="0" eaLnBrk="1" latinLnBrk="0" hangingPunct="1">
                            <a:defRPr sz="3200" kern="1200">
                              <a:solidFill>
                                <a:schemeClr val="tx1"/>
                              </a:solidFill>
                              <a:latin typeface="Arial" pitchFamily="34" charset="0"/>
                              <a:ea typeface="Geneva"/>
                              <a:cs typeface="Geneva"/>
                            </a:defRPr>
                          </a:lvl8pPr>
                          <a:lvl9pPr marL="3657600" algn="l" defTabSz="914400" rtl="0" eaLnBrk="1" latinLnBrk="0" hangingPunct="1">
                            <a:defRPr sz="3200" kern="1200">
                              <a:solidFill>
                                <a:schemeClr val="tx1"/>
                              </a:solidFill>
                              <a:latin typeface="Arial" pitchFamily="34" charset="0"/>
                              <a:ea typeface="Geneva"/>
                              <a:cs typeface="Geneva"/>
                            </a:defRPr>
                          </a:lvl9pPr>
                        </a:lstStyle>
                        <a:p>
                          <a:pPr>
                            <a:spcBef>
                              <a:spcPts val="600"/>
                            </a:spcBef>
                          </a:pPr>
                          <a:r>
                            <a:rPr lang="en-ZA" sz="1600" dirty="0" smtClean="0"/>
                            <a:t>COMMENT:</a:t>
                          </a:r>
                        </a:p>
                        <a:p>
                          <a:pPr>
                            <a:spcBef>
                              <a:spcPts val="600"/>
                            </a:spcBef>
                          </a:pPr>
                          <a:r>
                            <a:rPr lang="en-ZA" sz="1600" dirty="0" smtClean="0"/>
                            <a:t>Job creation during exploration phase negligible (Falcon  mentioned only about 5 local jobs would be created, Rhino mentions 20 – and they are temporary). Creation of jobs in case full sector development goes ahead is contingent on developing the necessary skills domestically. </a:t>
                          </a:r>
                        </a:p>
                        <a:p>
                          <a:pPr>
                            <a:spcBef>
                              <a:spcPts val="600"/>
                            </a:spcBef>
                          </a:pPr>
                          <a:endParaRPr lang="en-ZA" sz="1600" dirty="0" smtClean="0"/>
                        </a:p>
                        <a:p>
                          <a:pPr>
                            <a:spcBef>
                              <a:spcPts val="600"/>
                            </a:spcBef>
                          </a:pPr>
                          <a:r>
                            <a:rPr lang="en-ZA" sz="1600" dirty="0" smtClean="0">
                              <a:solidFill>
                                <a:srgbClr val="FF0000"/>
                              </a:solidFill>
                            </a:rPr>
                            <a:t>DOMESTIC ENERGY ≠ CHEAPER ENERGY</a:t>
                          </a:r>
                          <a:endParaRPr lang="en-ZA" sz="1600" dirty="0">
                            <a:solidFill>
                              <a:srgbClr val="FF0000"/>
                            </a:solidFill>
                          </a:endParaRPr>
                        </a:p>
                      </a:txBody>
                      <a:useSpRect/>
                    </a:txSp>
                  </a:sp>
                </lc:lockedCanvas>
              </a:graphicData>
            </a:graphic>
          </wp:inline>
        </w:drawing>
      </w:r>
    </w:p>
    <w:p w:rsidR="0070333A" w:rsidRPr="00952389" w:rsidRDefault="00A0481D" w:rsidP="0070333A">
      <w:pPr>
        <w:pStyle w:val="ListParagraph"/>
        <w:numPr>
          <w:ilvl w:val="0"/>
          <w:numId w:val="2"/>
        </w:numPr>
        <w:rPr>
          <w:b/>
          <w:sz w:val="28"/>
          <w:szCs w:val="28"/>
        </w:rPr>
      </w:pPr>
      <w:r w:rsidRPr="00952389">
        <w:rPr>
          <w:b/>
          <w:sz w:val="28"/>
          <w:szCs w:val="28"/>
          <w:lang w:val="en-ZA"/>
        </w:rPr>
        <w:t>Production of U</w:t>
      </w:r>
      <w:r w:rsidR="00952389">
        <w:rPr>
          <w:b/>
          <w:sz w:val="28"/>
          <w:szCs w:val="28"/>
          <w:lang w:val="en-ZA"/>
        </w:rPr>
        <w:t>nconventional Gas (U</w:t>
      </w:r>
      <w:r w:rsidRPr="00952389">
        <w:rPr>
          <w:b/>
          <w:sz w:val="28"/>
          <w:szCs w:val="28"/>
          <w:lang w:val="en-ZA"/>
        </w:rPr>
        <w:t>G</w:t>
      </w:r>
      <w:r w:rsidR="00952389">
        <w:rPr>
          <w:b/>
          <w:sz w:val="28"/>
          <w:szCs w:val="28"/>
          <w:lang w:val="en-ZA"/>
        </w:rPr>
        <w:t>)</w:t>
      </w:r>
      <w:r w:rsidRPr="00952389">
        <w:rPr>
          <w:b/>
          <w:sz w:val="28"/>
          <w:szCs w:val="28"/>
          <w:lang w:val="en-ZA"/>
        </w:rPr>
        <w:t xml:space="preserve"> may result in unavoidable environmental impacts even if extracted </w:t>
      </w:r>
      <w:proofErr w:type="gramStart"/>
      <w:r w:rsidRPr="00952389">
        <w:rPr>
          <w:b/>
          <w:sz w:val="28"/>
          <w:szCs w:val="28"/>
          <w:lang w:val="en-ZA"/>
        </w:rPr>
        <w:t>properly,</w:t>
      </w:r>
      <w:proofErr w:type="gramEnd"/>
      <w:r w:rsidRPr="00952389">
        <w:rPr>
          <w:b/>
          <w:sz w:val="28"/>
          <w:szCs w:val="28"/>
          <w:lang w:val="en-ZA"/>
        </w:rPr>
        <w:t xml:space="preserve"> and more so if done inadequately. Even if risk can be reduced theoretically, in practise many accidents from leaky or malfunctioning equipment as well as from bad practises are regularly occurring. </w:t>
      </w:r>
    </w:p>
    <w:p w:rsidR="0070333A" w:rsidRPr="00952389" w:rsidRDefault="00A0481D" w:rsidP="0070333A">
      <w:pPr>
        <w:pStyle w:val="ListParagraph"/>
        <w:numPr>
          <w:ilvl w:val="0"/>
          <w:numId w:val="2"/>
        </w:numPr>
        <w:rPr>
          <w:b/>
          <w:sz w:val="28"/>
          <w:szCs w:val="28"/>
        </w:rPr>
      </w:pPr>
      <w:r w:rsidRPr="00952389">
        <w:rPr>
          <w:b/>
          <w:sz w:val="28"/>
          <w:szCs w:val="28"/>
          <w:lang w:val="en-ZA"/>
        </w:rPr>
        <w:t>There is a serious lack of capacity to monitor and enforce compliance with any conditions of approval</w:t>
      </w:r>
      <w:r w:rsidR="00952389">
        <w:rPr>
          <w:b/>
          <w:sz w:val="28"/>
          <w:szCs w:val="28"/>
          <w:lang w:val="en-ZA"/>
        </w:rPr>
        <w:t xml:space="preserve"> for the extraction and production</w:t>
      </w:r>
      <w:r w:rsidRPr="00952389">
        <w:rPr>
          <w:b/>
          <w:sz w:val="28"/>
          <w:szCs w:val="28"/>
          <w:lang w:val="en-ZA"/>
        </w:rPr>
        <w:t>.</w:t>
      </w:r>
    </w:p>
    <w:p w:rsidR="0070333A" w:rsidRPr="00952389" w:rsidRDefault="0070333A" w:rsidP="0070333A">
      <w:pPr>
        <w:pStyle w:val="ListParagraph"/>
        <w:numPr>
          <w:ilvl w:val="0"/>
          <w:numId w:val="2"/>
        </w:numPr>
        <w:rPr>
          <w:b/>
          <w:sz w:val="28"/>
          <w:szCs w:val="28"/>
        </w:rPr>
      </w:pPr>
      <w:r w:rsidRPr="00952389">
        <w:rPr>
          <w:b/>
          <w:sz w:val="28"/>
          <w:szCs w:val="28"/>
          <w:lang w:val="en-ZA"/>
        </w:rPr>
        <w:t xml:space="preserve">Long terms health risks </w:t>
      </w:r>
      <w:r w:rsidR="00952389">
        <w:rPr>
          <w:b/>
          <w:sz w:val="28"/>
          <w:szCs w:val="28"/>
          <w:lang w:val="en-ZA"/>
        </w:rPr>
        <w:t xml:space="preserve">(after production is finished) </w:t>
      </w:r>
      <w:r w:rsidRPr="00952389">
        <w:rPr>
          <w:b/>
          <w:sz w:val="28"/>
          <w:szCs w:val="28"/>
          <w:lang w:val="en-ZA"/>
        </w:rPr>
        <w:t>could include birth defects for humans and animals</w:t>
      </w:r>
    </w:p>
    <w:p w:rsidR="0070333A" w:rsidRPr="00952389" w:rsidRDefault="0070333A" w:rsidP="0070333A">
      <w:pPr>
        <w:pStyle w:val="ListParagraph"/>
        <w:numPr>
          <w:ilvl w:val="0"/>
          <w:numId w:val="2"/>
        </w:numPr>
        <w:rPr>
          <w:b/>
          <w:sz w:val="28"/>
          <w:szCs w:val="28"/>
        </w:rPr>
      </w:pPr>
      <w:r w:rsidRPr="00952389">
        <w:rPr>
          <w:b/>
          <w:sz w:val="28"/>
          <w:szCs w:val="28"/>
          <w:lang w:val="en-ZA"/>
        </w:rPr>
        <w:t>Air and water pollution are serious threats which we cannot control once started</w:t>
      </w:r>
    </w:p>
    <w:p w:rsidR="00DB22AB" w:rsidRPr="00952389" w:rsidRDefault="00A0481D" w:rsidP="0070333A">
      <w:pPr>
        <w:pStyle w:val="ListParagraph"/>
        <w:numPr>
          <w:ilvl w:val="0"/>
          <w:numId w:val="2"/>
        </w:numPr>
        <w:rPr>
          <w:b/>
          <w:sz w:val="28"/>
          <w:szCs w:val="28"/>
        </w:rPr>
      </w:pPr>
      <w:r w:rsidRPr="00952389">
        <w:rPr>
          <w:b/>
          <w:sz w:val="28"/>
          <w:szCs w:val="28"/>
          <w:lang w:val="en-ZA"/>
        </w:rPr>
        <w:t>Ultimately, the solution is to reduce dependence on fossil fuels</w:t>
      </w:r>
      <w:r w:rsidR="0070333A" w:rsidRPr="00952389">
        <w:rPr>
          <w:b/>
          <w:sz w:val="28"/>
          <w:szCs w:val="28"/>
          <w:lang w:val="en-ZA"/>
        </w:rPr>
        <w:t>, and build on local agricultural production</w:t>
      </w:r>
      <w:r w:rsidRPr="00952389">
        <w:rPr>
          <w:b/>
          <w:sz w:val="28"/>
          <w:szCs w:val="28"/>
          <w:lang w:val="en-ZA"/>
        </w:rPr>
        <w:t>.</w:t>
      </w:r>
    </w:p>
    <w:p w:rsidR="0070333A" w:rsidRDefault="0070333A" w:rsidP="0070333A">
      <w:pPr>
        <w:ind w:left="-567" w:firstLine="567"/>
      </w:pPr>
    </w:p>
    <w:sectPr w:rsidR="0070333A" w:rsidSect="000875CA">
      <w:pgSz w:w="15840" w:h="12240" w:orient="landscape"/>
      <w:pgMar w:top="567" w:right="814" w:bottom="567" w:left="709"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EE3729"/>
    <w:multiLevelType w:val="hybridMultilevel"/>
    <w:tmpl w:val="A8646E60"/>
    <w:lvl w:ilvl="0" w:tplc="D45C52DC">
      <w:start w:val="1"/>
      <w:numFmt w:val="bullet"/>
      <w:lvlText w:val="•"/>
      <w:lvlJc w:val="left"/>
      <w:pPr>
        <w:tabs>
          <w:tab w:val="num" w:pos="720"/>
        </w:tabs>
        <w:ind w:left="720" w:hanging="360"/>
      </w:pPr>
      <w:rPr>
        <w:rFonts w:ascii="Arial" w:hAnsi="Arial" w:hint="default"/>
      </w:rPr>
    </w:lvl>
    <w:lvl w:ilvl="1" w:tplc="1F6E4AE6" w:tentative="1">
      <w:start w:val="1"/>
      <w:numFmt w:val="bullet"/>
      <w:lvlText w:val="•"/>
      <w:lvlJc w:val="left"/>
      <w:pPr>
        <w:tabs>
          <w:tab w:val="num" w:pos="1440"/>
        </w:tabs>
        <w:ind w:left="1440" w:hanging="360"/>
      </w:pPr>
      <w:rPr>
        <w:rFonts w:ascii="Arial" w:hAnsi="Arial" w:hint="default"/>
      </w:rPr>
    </w:lvl>
    <w:lvl w:ilvl="2" w:tplc="CA12B70C" w:tentative="1">
      <w:start w:val="1"/>
      <w:numFmt w:val="bullet"/>
      <w:lvlText w:val="•"/>
      <w:lvlJc w:val="left"/>
      <w:pPr>
        <w:tabs>
          <w:tab w:val="num" w:pos="2160"/>
        </w:tabs>
        <w:ind w:left="2160" w:hanging="360"/>
      </w:pPr>
      <w:rPr>
        <w:rFonts w:ascii="Arial" w:hAnsi="Arial" w:hint="default"/>
      </w:rPr>
    </w:lvl>
    <w:lvl w:ilvl="3" w:tplc="FC9699F6" w:tentative="1">
      <w:start w:val="1"/>
      <w:numFmt w:val="bullet"/>
      <w:lvlText w:val="•"/>
      <w:lvlJc w:val="left"/>
      <w:pPr>
        <w:tabs>
          <w:tab w:val="num" w:pos="2880"/>
        </w:tabs>
        <w:ind w:left="2880" w:hanging="360"/>
      </w:pPr>
      <w:rPr>
        <w:rFonts w:ascii="Arial" w:hAnsi="Arial" w:hint="default"/>
      </w:rPr>
    </w:lvl>
    <w:lvl w:ilvl="4" w:tplc="D7C66116" w:tentative="1">
      <w:start w:val="1"/>
      <w:numFmt w:val="bullet"/>
      <w:lvlText w:val="•"/>
      <w:lvlJc w:val="left"/>
      <w:pPr>
        <w:tabs>
          <w:tab w:val="num" w:pos="3600"/>
        </w:tabs>
        <w:ind w:left="3600" w:hanging="360"/>
      </w:pPr>
      <w:rPr>
        <w:rFonts w:ascii="Arial" w:hAnsi="Arial" w:hint="default"/>
      </w:rPr>
    </w:lvl>
    <w:lvl w:ilvl="5" w:tplc="E2686250" w:tentative="1">
      <w:start w:val="1"/>
      <w:numFmt w:val="bullet"/>
      <w:lvlText w:val="•"/>
      <w:lvlJc w:val="left"/>
      <w:pPr>
        <w:tabs>
          <w:tab w:val="num" w:pos="4320"/>
        </w:tabs>
        <w:ind w:left="4320" w:hanging="360"/>
      </w:pPr>
      <w:rPr>
        <w:rFonts w:ascii="Arial" w:hAnsi="Arial" w:hint="default"/>
      </w:rPr>
    </w:lvl>
    <w:lvl w:ilvl="6" w:tplc="0BAE675C" w:tentative="1">
      <w:start w:val="1"/>
      <w:numFmt w:val="bullet"/>
      <w:lvlText w:val="•"/>
      <w:lvlJc w:val="left"/>
      <w:pPr>
        <w:tabs>
          <w:tab w:val="num" w:pos="5040"/>
        </w:tabs>
        <w:ind w:left="5040" w:hanging="360"/>
      </w:pPr>
      <w:rPr>
        <w:rFonts w:ascii="Arial" w:hAnsi="Arial" w:hint="default"/>
      </w:rPr>
    </w:lvl>
    <w:lvl w:ilvl="7" w:tplc="90DE2C2A" w:tentative="1">
      <w:start w:val="1"/>
      <w:numFmt w:val="bullet"/>
      <w:lvlText w:val="•"/>
      <w:lvlJc w:val="left"/>
      <w:pPr>
        <w:tabs>
          <w:tab w:val="num" w:pos="5760"/>
        </w:tabs>
        <w:ind w:left="5760" w:hanging="360"/>
      </w:pPr>
      <w:rPr>
        <w:rFonts w:ascii="Arial" w:hAnsi="Arial" w:hint="default"/>
      </w:rPr>
    </w:lvl>
    <w:lvl w:ilvl="8" w:tplc="C908AF34" w:tentative="1">
      <w:start w:val="1"/>
      <w:numFmt w:val="bullet"/>
      <w:lvlText w:val="•"/>
      <w:lvlJc w:val="left"/>
      <w:pPr>
        <w:tabs>
          <w:tab w:val="num" w:pos="6480"/>
        </w:tabs>
        <w:ind w:left="6480" w:hanging="360"/>
      </w:pPr>
      <w:rPr>
        <w:rFonts w:ascii="Arial" w:hAnsi="Arial" w:hint="default"/>
      </w:rPr>
    </w:lvl>
  </w:abstractNum>
  <w:abstractNum w:abstractNumId="1">
    <w:nsid w:val="36440B43"/>
    <w:multiLevelType w:val="hybridMultilevel"/>
    <w:tmpl w:val="8384FA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6F945E15"/>
    <w:multiLevelType w:val="hybridMultilevel"/>
    <w:tmpl w:val="426EEAFC"/>
    <w:lvl w:ilvl="0" w:tplc="7ACE9D7C">
      <w:start w:val="1"/>
      <w:numFmt w:val="bullet"/>
      <w:lvlText w:val="•"/>
      <w:lvlJc w:val="left"/>
      <w:pPr>
        <w:tabs>
          <w:tab w:val="num" w:pos="720"/>
        </w:tabs>
        <w:ind w:left="720" w:hanging="360"/>
      </w:pPr>
      <w:rPr>
        <w:rFonts w:ascii="Arial" w:hAnsi="Arial" w:hint="default"/>
      </w:rPr>
    </w:lvl>
    <w:lvl w:ilvl="1" w:tplc="3AA8CDEE" w:tentative="1">
      <w:start w:val="1"/>
      <w:numFmt w:val="bullet"/>
      <w:lvlText w:val="•"/>
      <w:lvlJc w:val="left"/>
      <w:pPr>
        <w:tabs>
          <w:tab w:val="num" w:pos="1440"/>
        </w:tabs>
        <w:ind w:left="1440" w:hanging="360"/>
      </w:pPr>
      <w:rPr>
        <w:rFonts w:ascii="Arial" w:hAnsi="Arial" w:hint="default"/>
      </w:rPr>
    </w:lvl>
    <w:lvl w:ilvl="2" w:tplc="B60ED63C" w:tentative="1">
      <w:start w:val="1"/>
      <w:numFmt w:val="bullet"/>
      <w:lvlText w:val="•"/>
      <w:lvlJc w:val="left"/>
      <w:pPr>
        <w:tabs>
          <w:tab w:val="num" w:pos="2160"/>
        </w:tabs>
        <w:ind w:left="2160" w:hanging="360"/>
      </w:pPr>
      <w:rPr>
        <w:rFonts w:ascii="Arial" w:hAnsi="Arial" w:hint="default"/>
      </w:rPr>
    </w:lvl>
    <w:lvl w:ilvl="3" w:tplc="56DEFA9A" w:tentative="1">
      <w:start w:val="1"/>
      <w:numFmt w:val="bullet"/>
      <w:lvlText w:val="•"/>
      <w:lvlJc w:val="left"/>
      <w:pPr>
        <w:tabs>
          <w:tab w:val="num" w:pos="2880"/>
        </w:tabs>
        <w:ind w:left="2880" w:hanging="360"/>
      </w:pPr>
      <w:rPr>
        <w:rFonts w:ascii="Arial" w:hAnsi="Arial" w:hint="default"/>
      </w:rPr>
    </w:lvl>
    <w:lvl w:ilvl="4" w:tplc="7B667EF6" w:tentative="1">
      <w:start w:val="1"/>
      <w:numFmt w:val="bullet"/>
      <w:lvlText w:val="•"/>
      <w:lvlJc w:val="left"/>
      <w:pPr>
        <w:tabs>
          <w:tab w:val="num" w:pos="3600"/>
        </w:tabs>
        <w:ind w:left="3600" w:hanging="360"/>
      </w:pPr>
      <w:rPr>
        <w:rFonts w:ascii="Arial" w:hAnsi="Arial" w:hint="default"/>
      </w:rPr>
    </w:lvl>
    <w:lvl w:ilvl="5" w:tplc="0B2ACF04" w:tentative="1">
      <w:start w:val="1"/>
      <w:numFmt w:val="bullet"/>
      <w:lvlText w:val="•"/>
      <w:lvlJc w:val="left"/>
      <w:pPr>
        <w:tabs>
          <w:tab w:val="num" w:pos="4320"/>
        </w:tabs>
        <w:ind w:left="4320" w:hanging="360"/>
      </w:pPr>
      <w:rPr>
        <w:rFonts w:ascii="Arial" w:hAnsi="Arial" w:hint="default"/>
      </w:rPr>
    </w:lvl>
    <w:lvl w:ilvl="6" w:tplc="488809C2" w:tentative="1">
      <w:start w:val="1"/>
      <w:numFmt w:val="bullet"/>
      <w:lvlText w:val="•"/>
      <w:lvlJc w:val="left"/>
      <w:pPr>
        <w:tabs>
          <w:tab w:val="num" w:pos="5040"/>
        </w:tabs>
        <w:ind w:left="5040" w:hanging="360"/>
      </w:pPr>
      <w:rPr>
        <w:rFonts w:ascii="Arial" w:hAnsi="Arial" w:hint="default"/>
      </w:rPr>
    </w:lvl>
    <w:lvl w:ilvl="7" w:tplc="9386E14E" w:tentative="1">
      <w:start w:val="1"/>
      <w:numFmt w:val="bullet"/>
      <w:lvlText w:val="•"/>
      <w:lvlJc w:val="left"/>
      <w:pPr>
        <w:tabs>
          <w:tab w:val="num" w:pos="5760"/>
        </w:tabs>
        <w:ind w:left="5760" w:hanging="360"/>
      </w:pPr>
      <w:rPr>
        <w:rFonts w:ascii="Arial" w:hAnsi="Arial" w:hint="default"/>
      </w:rPr>
    </w:lvl>
    <w:lvl w:ilvl="8" w:tplc="24CE3A0E"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70333A"/>
    <w:rsid w:val="000875CA"/>
    <w:rsid w:val="0018329B"/>
    <w:rsid w:val="001A6FC7"/>
    <w:rsid w:val="001E06E8"/>
    <w:rsid w:val="002712EA"/>
    <w:rsid w:val="00522664"/>
    <w:rsid w:val="0070333A"/>
    <w:rsid w:val="00746253"/>
    <w:rsid w:val="007E4B92"/>
    <w:rsid w:val="00952389"/>
    <w:rsid w:val="00A0481D"/>
    <w:rsid w:val="00B70332"/>
    <w:rsid w:val="00BA3814"/>
    <w:rsid w:val="00C2073E"/>
    <w:rsid w:val="00DA7AB4"/>
    <w:rsid w:val="00DB22AB"/>
    <w:rsid w:val="00EB5BCF"/>
    <w:rsid w:val="00F85C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2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33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333A"/>
    <w:rPr>
      <w:rFonts w:ascii="Tahoma" w:hAnsi="Tahoma" w:cs="Tahoma"/>
      <w:sz w:val="16"/>
      <w:szCs w:val="16"/>
    </w:rPr>
  </w:style>
  <w:style w:type="paragraph" w:styleId="ListParagraph">
    <w:name w:val="List Paragraph"/>
    <w:basedOn w:val="Normal"/>
    <w:uiPriority w:val="34"/>
    <w:qFormat/>
    <w:rsid w:val="0070333A"/>
    <w:pPr>
      <w:ind w:left="720"/>
      <w:contextualSpacing/>
    </w:pPr>
  </w:style>
</w:styles>
</file>

<file path=word/webSettings.xml><?xml version="1.0" encoding="utf-8"?>
<w:webSettings xmlns:r="http://schemas.openxmlformats.org/officeDocument/2006/relationships" xmlns:w="http://schemas.openxmlformats.org/wordprocessingml/2006/main">
  <w:divs>
    <w:div w:id="405566305">
      <w:bodyDiv w:val="1"/>
      <w:marLeft w:val="0"/>
      <w:marRight w:val="0"/>
      <w:marTop w:val="0"/>
      <w:marBottom w:val="0"/>
      <w:divBdr>
        <w:top w:val="none" w:sz="0" w:space="0" w:color="auto"/>
        <w:left w:val="none" w:sz="0" w:space="0" w:color="auto"/>
        <w:bottom w:val="none" w:sz="0" w:space="0" w:color="auto"/>
        <w:right w:val="none" w:sz="0" w:space="0" w:color="auto"/>
      </w:divBdr>
      <w:divsChild>
        <w:div w:id="1359890270">
          <w:marLeft w:val="547"/>
          <w:marRight w:val="0"/>
          <w:marTop w:val="120"/>
          <w:marBottom w:val="120"/>
          <w:divBdr>
            <w:top w:val="none" w:sz="0" w:space="0" w:color="auto"/>
            <w:left w:val="none" w:sz="0" w:space="0" w:color="auto"/>
            <w:bottom w:val="none" w:sz="0" w:space="0" w:color="auto"/>
            <w:right w:val="none" w:sz="0" w:space="0" w:color="auto"/>
          </w:divBdr>
        </w:div>
        <w:div w:id="2081559844">
          <w:marLeft w:val="547"/>
          <w:marRight w:val="0"/>
          <w:marTop w:val="120"/>
          <w:marBottom w:val="120"/>
          <w:divBdr>
            <w:top w:val="none" w:sz="0" w:space="0" w:color="auto"/>
            <w:left w:val="none" w:sz="0" w:space="0" w:color="auto"/>
            <w:bottom w:val="none" w:sz="0" w:space="0" w:color="auto"/>
            <w:right w:val="none" w:sz="0" w:space="0" w:color="auto"/>
          </w:divBdr>
        </w:div>
      </w:divsChild>
    </w:div>
    <w:div w:id="835654296">
      <w:bodyDiv w:val="1"/>
      <w:marLeft w:val="0"/>
      <w:marRight w:val="0"/>
      <w:marTop w:val="0"/>
      <w:marBottom w:val="0"/>
      <w:divBdr>
        <w:top w:val="none" w:sz="0" w:space="0" w:color="auto"/>
        <w:left w:val="none" w:sz="0" w:space="0" w:color="auto"/>
        <w:bottom w:val="none" w:sz="0" w:space="0" w:color="auto"/>
        <w:right w:val="none" w:sz="0" w:space="0" w:color="auto"/>
      </w:divBdr>
      <w:divsChild>
        <w:div w:id="159391695">
          <w:marLeft w:val="446"/>
          <w:marRight w:val="0"/>
          <w:marTop w:val="120"/>
          <w:marBottom w:val="120"/>
          <w:divBdr>
            <w:top w:val="none" w:sz="0" w:space="0" w:color="auto"/>
            <w:left w:val="none" w:sz="0" w:space="0" w:color="auto"/>
            <w:bottom w:val="none" w:sz="0" w:space="0" w:color="auto"/>
            <w:right w:val="none" w:sz="0" w:space="0" w:color="auto"/>
          </w:divBdr>
        </w:div>
        <w:div w:id="1395196997">
          <w:marLeft w:val="446"/>
          <w:marRight w:val="0"/>
          <w:marTop w:val="120"/>
          <w:marBottom w:val="120"/>
          <w:divBdr>
            <w:top w:val="none" w:sz="0" w:space="0" w:color="auto"/>
            <w:left w:val="none" w:sz="0" w:space="0" w:color="auto"/>
            <w:bottom w:val="none" w:sz="0" w:space="0" w:color="auto"/>
            <w:right w:val="none" w:sz="0" w:space="0" w:color="auto"/>
          </w:divBdr>
        </w:div>
        <w:div w:id="1499728300">
          <w:marLeft w:val="446"/>
          <w:marRight w:val="0"/>
          <w:marTop w:val="120"/>
          <w:marBottom w:val="120"/>
          <w:divBdr>
            <w:top w:val="none" w:sz="0" w:space="0" w:color="auto"/>
            <w:left w:val="none" w:sz="0" w:space="0" w:color="auto"/>
            <w:bottom w:val="none" w:sz="0" w:space="0" w:color="auto"/>
            <w:right w:val="none" w:sz="0" w:space="0" w:color="auto"/>
          </w:divBdr>
        </w:div>
        <w:div w:id="220293185">
          <w:marLeft w:val="446"/>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emf"/><Relationship Id="rId15" Type="http://schemas.openxmlformats.org/officeDocument/2006/relationships/image" Target="media/image11.emf"/><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229</Words>
  <Characters>1308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ERS</Company>
  <LinksUpToDate>false</LinksUpToDate>
  <CharactersWithSpaces>1534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Nicky McLeod</dc:creator>
  <cp:keywords/>
  <dc:description/>
  <cp:lastModifiedBy>Nicky McLeod</cp:lastModifiedBy>
  <cp:revision>2</cp:revision>
  <cp:lastPrinted>2016-04-25T09:21:00Z</cp:lastPrinted>
  <dcterms:created xsi:type="dcterms:W3CDTF">2016-06-08T07:40:00Z</dcterms:created>
  <dcterms:modified xsi:type="dcterms:W3CDTF">2016-06-08T07:40:00Z</dcterms:modified>
</cp:coreProperties>
</file>